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F6" w:rsidRDefault="006940ED" w:rsidP="006940ED">
      <w:pPr>
        <w:rPr>
          <w:color w:val="231F20"/>
          <w:sz w:val="60"/>
          <w:szCs w:val="60"/>
        </w:rPr>
      </w:pPr>
      <w:r>
        <w:rPr>
          <w:color w:val="231F20"/>
          <w:sz w:val="60"/>
          <w:szCs w:val="60"/>
        </w:rPr>
        <w:t>GDPR Overview</w:t>
      </w:r>
    </w:p>
    <w:p w:rsidR="006940ED" w:rsidRDefault="006940ED" w:rsidP="006940ED">
      <w:pPr>
        <w:rPr>
          <w:b/>
          <w:bCs/>
          <w:color w:val="231F20"/>
          <w:sz w:val="42"/>
          <w:szCs w:val="42"/>
        </w:rPr>
      </w:pPr>
      <w:r>
        <w:rPr>
          <w:b/>
          <w:bCs/>
          <w:color w:val="231F20"/>
          <w:sz w:val="42"/>
          <w:szCs w:val="42"/>
        </w:rPr>
        <w:t>What is GDPR?</w:t>
      </w:r>
    </w:p>
    <w:p w:rsidR="006940ED" w:rsidRDefault="006940ED" w:rsidP="006940ED">
      <w:pPr>
        <w:pStyle w:val="NormalWeb"/>
        <w:spacing w:before="0" w:beforeAutospacing="0" w:after="195" w:afterAutospacing="0" w:line="420" w:lineRule="atLeast"/>
        <w:rPr>
          <w:rFonts w:ascii="&amp;quot" w:hAnsi="&amp;quot"/>
          <w:color w:val="231F20"/>
        </w:rPr>
      </w:pPr>
      <w:r>
        <w:rPr>
          <w:rFonts w:ascii="&amp;quot" w:hAnsi="&amp;quot"/>
          <w:color w:val="231F20"/>
        </w:rPr>
        <w:t xml:space="preserve">The General Data Protection Regulation (GDPR) comes into </w:t>
      </w:r>
      <w:r w:rsidR="00264F0B">
        <w:rPr>
          <w:rFonts w:ascii="&amp;quot" w:hAnsi="&amp;quot"/>
          <w:color w:val="231F20"/>
        </w:rPr>
        <w:t>effect</w:t>
      </w:r>
      <w:r>
        <w:rPr>
          <w:rFonts w:ascii="&amp;quot" w:hAnsi="&amp;quot"/>
          <w:color w:val="231F20"/>
        </w:rPr>
        <w:t xml:space="preserve"> on </w:t>
      </w:r>
      <w:proofErr w:type="spellStart"/>
      <w:r>
        <w:rPr>
          <w:rFonts w:ascii="&amp;quot" w:hAnsi="&amp;quot"/>
          <w:color w:val="231F20"/>
        </w:rPr>
        <w:t>25</w:t>
      </w:r>
      <w:r>
        <w:rPr>
          <w:rFonts w:ascii="&amp;quot" w:hAnsi="&amp;quot"/>
          <w:color w:val="231F20"/>
          <w:sz w:val="15"/>
          <w:szCs w:val="15"/>
          <w:vertAlign w:val="superscript"/>
        </w:rPr>
        <w:t>t</w:t>
      </w:r>
      <w:proofErr w:type="spellEnd"/>
      <w:r>
        <w:rPr>
          <w:rFonts w:ascii="&amp;quot" w:hAnsi="&amp;quot"/>
          <w:color w:val="231F20"/>
          <w:sz w:val="15"/>
          <w:szCs w:val="15"/>
          <w:vertAlign w:val="superscript"/>
        </w:rPr>
        <w:t xml:space="preserve"> </w:t>
      </w:r>
      <w:r>
        <w:rPr>
          <w:rFonts w:ascii="&amp;quot" w:hAnsi="&amp;quot"/>
          <w:color w:val="231F20"/>
        </w:rPr>
        <w:t>May 2018.</w:t>
      </w:r>
    </w:p>
    <w:p w:rsidR="006940ED" w:rsidRDefault="006940ED" w:rsidP="006940ED">
      <w:pPr>
        <w:pStyle w:val="NormalWeb"/>
        <w:spacing w:before="0" w:beforeAutospacing="0" w:after="195" w:afterAutospacing="0" w:line="420" w:lineRule="atLeast"/>
        <w:rPr>
          <w:rFonts w:ascii="&amp;quot" w:hAnsi="&amp;quot"/>
          <w:color w:val="231F20"/>
        </w:rPr>
      </w:pPr>
      <w:r>
        <w:rPr>
          <w:rFonts w:ascii="&amp;quot" w:hAnsi="&amp;quot"/>
          <w:color w:val="231F20"/>
        </w:rPr>
        <w:t xml:space="preserve">It standardizes and strengthens the right of all European Citizens to data privacy.  GDPR emphasizes transparency, security and accountability for organizations that collect, use, </w:t>
      </w:r>
      <w:proofErr w:type="gramStart"/>
      <w:r>
        <w:rPr>
          <w:rFonts w:ascii="&amp;quot" w:hAnsi="&amp;quot"/>
          <w:color w:val="231F20"/>
        </w:rPr>
        <w:t>share</w:t>
      </w:r>
      <w:proofErr w:type="gramEnd"/>
      <w:r>
        <w:rPr>
          <w:rFonts w:ascii="&amp;quot" w:hAnsi="&amp;quot"/>
          <w:color w:val="231F20"/>
        </w:rPr>
        <w:t xml:space="preserve"> and store personal data.</w:t>
      </w:r>
    </w:p>
    <w:p w:rsidR="006940ED" w:rsidRDefault="006940ED" w:rsidP="006940ED">
      <w:pPr>
        <w:pStyle w:val="NormalWeb"/>
        <w:spacing w:before="0" w:beforeAutospacing="0" w:after="195" w:afterAutospacing="0" w:line="420" w:lineRule="atLeast"/>
        <w:rPr>
          <w:rFonts w:ascii="&amp;quot" w:hAnsi="&amp;quot"/>
          <w:color w:val="231F20"/>
        </w:rPr>
      </w:pPr>
      <w:r>
        <w:rPr>
          <w:rFonts w:ascii="&amp;quot" w:hAnsi="&amp;quot"/>
          <w:color w:val="231F20"/>
        </w:rPr>
        <w:t xml:space="preserve">While many of the main concepts and principles of GDPR are much the same as those in our current </w:t>
      </w:r>
      <w:proofErr w:type="spellStart"/>
      <w:r>
        <w:rPr>
          <w:rFonts w:ascii="&amp;quot" w:hAnsi="&amp;quot"/>
          <w:color w:val="231F20"/>
        </w:rPr>
        <w:t>FERPA</w:t>
      </w:r>
      <w:proofErr w:type="spellEnd"/>
      <w:r>
        <w:rPr>
          <w:rFonts w:ascii="&amp;quot" w:hAnsi="&amp;quot"/>
          <w:color w:val="231F20"/>
        </w:rPr>
        <w:t xml:space="preserve"> and Privacy Act laws, GDPR introduces new elements and significant enhancements which Centre College is required to accommodate.  </w:t>
      </w:r>
    </w:p>
    <w:p w:rsidR="006940ED" w:rsidRDefault="006940ED" w:rsidP="006940ED">
      <w:pPr>
        <w:pStyle w:val="NormalWeb"/>
        <w:spacing w:before="0" w:beforeAutospacing="0" w:after="195" w:afterAutospacing="0" w:line="420" w:lineRule="atLeast"/>
        <w:rPr>
          <w:rFonts w:ascii="&amp;quot" w:hAnsi="&amp;quot"/>
          <w:color w:val="231F20"/>
        </w:rPr>
      </w:pPr>
    </w:p>
    <w:p w:rsidR="006940ED" w:rsidRDefault="006940ED" w:rsidP="006940ED">
      <w:pPr>
        <w:rPr>
          <w:b/>
          <w:bCs/>
          <w:color w:val="231F20"/>
          <w:sz w:val="42"/>
          <w:szCs w:val="42"/>
        </w:rPr>
      </w:pPr>
      <w:r>
        <w:rPr>
          <w:b/>
          <w:bCs/>
          <w:color w:val="231F20"/>
          <w:sz w:val="42"/>
          <w:szCs w:val="42"/>
        </w:rPr>
        <w:t>What this means to Centre College</w:t>
      </w:r>
    </w:p>
    <w:p w:rsidR="006940ED" w:rsidRDefault="006940ED" w:rsidP="006940ED">
      <w:pPr>
        <w:pStyle w:val="NormalWeb"/>
        <w:spacing w:before="0" w:beforeAutospacing="0" w:after="195" w:afterAutospacing="0" w:line="420" w:lineRule="atLeast"/>
        <w:rPr>
          <w:rFonts w:ascii="&amp;quot" w:hAnsi="&amp;quot"/>
          <w:color w:val="231F20"/>
        </w:rPr>
      </w:pPr>
      <w:r>
        <w:rPr>
          <w:rFonts w:ascii="&amp;quot" w:hAnsi="&amp;quot"/>
          <w:color w:val="231F20"/>
        </w:rPr>
        <w:t xml:space="preserve">Centre College looks to attract a diverse faculty, staff and student body and this includes citizens from the European Union.  We are also very proud of our Study Abroad and Internship programs which can bring US citizens to the European Union during their academic career.  Centre College must ensure we comply with the GDPR for both our EU citizens but also for US citizens during their stay in EU countries.  </w:t>
      </w:r>
    </w:p>
    <w:p w:rsidR="006940ED" w:rsidRDefault="006940ED" w:rsidP="006940ED">
      <w:pPr>
        <w:pStyle w:val="NormalWeb"/>
        <w:spacing w:before="0" w:beforeAutospacing="0" w:after="195" w:afterAutospacing="0" w:line="420" w:lineRule="atLeast"/>
        <w:rPr>
          <w:rFonts w:ascii="&amp;quot" w:hAnsi="&amp;quot"/>
          <w:color w:val="231F20"/>
        </w:rPr>
      </w:pPr>
    </w:p>
    <w:p w:rsidR="006940ED" w:rsidRDefault="006940ED" w:rsidP="006940ED">
      <w:pPr>
        <w:rPr>
          <w:b/>
          <w:bCs/>
          <w:color w:val="231F20"/>
          <w:sz w:val="42"/>
          <w:szCs w:val="42"/>
        </w:rPr>
      </w:pPr>
      <w:r>
        <w:rPr>
          <w:b/>
          <w:bCs/>
          <w:color w:val="231F20"/>
          <w:sz w:val="42"/>
          <w:szCs w:val="42"/>
        </w:rPr>
        <w:t>What is Centre College doing about GDPR?</w:t>
      </w:r>
    </w:p>
    <w:p w:rsidR="006940ED" w:rsidRPr="006940ED" w:rsidRDefault="006940ED" w:rsidP="006940ED">
      <w:pPr>
        <w:spacing w:after="195" w:line="420" w:lineRule="atLeast"/>
        <w:rPr>
          <w:rFonts w:ascii="&amp;quot" w:eastAsia="Times New Roman" w:hAnsi="&amp;quot" w:cs="Times New Roman"/>
          <w:color w:val="231F20"/>
          <w:sz w:val="24"/>
          <w:szCs w:val="24"/>
        </w:rPr>
      </w:pPr>
      <w:r>
        <w:rPr>
          <w:rFonts w:ascii="&amp;quot" w:eastAsia="Times New Roman" w:hAnsi="&amp;quot" w:cs="Times New Roman"/>
          <w:color w:val="231F20"/>
          <w:sz w:val="24"/>
          <w:szCs w:val="24"/>
        </w:rPr>
        <w:t xml:space="preserve">Centre College is developing guidance for staff, faculty and students who will be affected by GDPR.  This will include crating forms to track students notification of our policies, procedures to challenge data and a data map for all privacy data stored and used by the College.  </w:t>
      </w:r>
    </w:p>
    <w:p w:rsidR="006940ED" w:rsidRDefault="006940ED" w:rsidP="006940ED">
      <w:pPr>
        <w:spacing w:after="195" w:line="420" w:lineRule="atLeast"/>
        <w:rPr>
          <w:rFonts w:ascii="&amp;quot" w:eastAsia="Times New Roman" w:hAnsi="&amp;quot" w:cs="Times New Roman"/>
          <w:color w:val="231F20"/>
          <w:sz w:val="24"/>
          <w:szCs w:val="24"/>
        </w:rPr>
      </w:pPr>
      <w:r w:rsidRPr="006940ED">
        <w:rPr>
          <w:rFonts w:ascii="&amp;quot" w:eastAsia="Times New Roman" w:hAnsi="&amp;quot" w:cs="Times New Roman"/>
          <w:color w:val="231F20"/>
          <w:sz w:val="24"/>
          <w:szCs w:val="24"/>
        </w:rPr>
        <w:t xml:space="preserve">For further information, please contact </w:t>
      </w:r>
      <w:r w:rsidR="002C21EE">
        <w:rPr>
          <w:rFonts w:ascii="&amp;quot" w:eastAsia="Times New Roman" w:hAnsi="&amp;quot" w:cs="Times New Roman"/>
          <w:color w:val="231F20"/>
          <w:sz w:val="24"/>
          <w:szCs w:val="24"/>
        </w:rPr>
        <w:t>Andrew Ryan</w:t>
      </w:r>
      <w:r w:rsidRPr="006940ED">
        <w:rPr>
          <w:rFonts w:ascii="&amp;quot" w:eastAsia="Times New Roman" w:hAnsi="&amp;quot" w:cs="Times New Roman"/>
          <w:color w:val="231F20"/>
          <w:sz w:val="24"/>
          <w:szCs w:val="24"/>
        </w:rPr>
        <w:t xml:space="preserve">, </w:t>
      </w:r>
      <w:r w:rsidR="002C21EE">
        <w:rPr>
          <w:rFonts w:ascii="&amp;quot" w:eastAsia="Times New Roman" w:hAnsi="&amp;quot" w:cs="Times New Roman"/>
          <w:color w:val="231F20"/>
          <w:sz w:val="24"/>
          <w:szCs w:val="24"/>
        </w:rPr>
        <w:t xml:space="preserve">Chief </w:t>
      </w:r>
      <w:r w:rsidRPr="006940ED">
        <w:rPr>
          <w:rFonts w:ascii="&amp;quot" w:eastAsia="Times New Roman" w:hAnsi="&amp;quot" w:cs="Times New Roman"/>
          <w:color w:val="231F20"/>
          <w:sz w:val="24"/>
          <w:szCs w:val="24"/>
        </w:rPr>
        <w:t xml:space="preserve">Information </w:t>
      </w:r>
      <w:r w:rsidR="002C21EE">
        <w:rPr>
          <w:rFonts w:ascii="&amp;quot" w:eastAsia="Times New Roman" w:hAnsi="&amp;quot" w:cs="Times New Roman"/>
          <w:color w:val="231F20"/>
          <w:sz w:val="24"/>
          <w:szCs w:val="24"/>
        </w:rPr>
        <w:t>Officer at andrew.ryan@centre.edu</w:t>
      </w:r>
      <w:r w:rsidR="002C21EE" w:rsidRPr="006940ED">
        <w:rPr>
          <w:rFonts w:ascii="&amp;quot" w:eastAsia="Times New Roman" w:hAnsi="&amp;quot" w:cs="Times New Roman"/>
          <w:color w:val="231F20"/>
          <w:sz w:val="24"/>
          <w:szCs w:val="24"/>
        </w:rPr>
        <w:t xml:space="preserve"> </w:t>
      </w:r>
    </w:p>
    <w:p w:rsidR="002C21EE" w:rsidRPr="006940ED" w:rsidRDefault="002C21EE" w:rsidP="006940ED">
      <w:pPr>
        <w:spacing w:after="195" w:line="420" w:lineRule="atLeast"/>
        <w:rPr>
          <w:rFonts w:ascii="&amp;quot" w:eastAsia="Times New Roman" w:hAnsi="&amp;quot" w:cs="Times New Roman"/>
          <w:color w:val="231F20"/>
          <w:sz w:val="24"/>
          <w:szCs w:val="24"/>
        </w:rPr>
      </w:pPr>
    </w:p>
    <w:p w:rsidR="006940ED" w:rsidRPr="006940ED" w:rsidRDefault="006940ED" w:rsidP="006940ED">
      <w:pPr>
        <w:spacing w:before="450" w:after="300" w:line="525" w:lineRule="atLeast"/>
        <w:outlineLvl w:val="1"/>
        <w:rPr>
          <w:rFonts w:ascii="&amp;quot" w:eastAsia="Times New Roman" w:hAnsi="&amp;quot" w:cs="Times New Roman"/>
          <w:b/>
          <w:bCs/>
          <w:color w:val="231F20"/>
          <w:sz w:val="42"/>
          <w:szCs w:val="42"/>
        </w:rPr>
      </w:pPr>
      <w:r w:rsidRPr="006940ED">
        <w:rPr>
          <w:rFonts w:ascii="&amp;quot" w:eastAsia="Times New Roman" w:hAnsi="&amp;quot" w:cs="Times New Roman"/>
          <w:b/>
          <w:bCs/>
          <w:color w:val="231F20"/>
          <w:sz w:val="42"/>
          <w:szCs w:val="42"/>
        </w:rPr>
        <w:t>Why is GDPR Important</w:t>
      </w:r>
    </w:p>
    <w:p w:rsidR="006940ED" w:rsidRPr="006940ED" w:rsidRDefault="006940ED" w:rsidP="006940ED">
      <w:pPr>
        <w:spacing w:after="195" w:line="420" w:lineRule="atLeast"/>
        <w:rPr>
          <w:rFonts w:ascii="&amp;quot" w:eastAsia="Times New Roman" w:hAnsi="&amp;quot" w:cs="Times New Roman"/>
          <w:color w:val="231F20"/>
          <w:sz w:val="24"/>
          <w:szCs w:val="24"/>
        </w:rPr>
      </w:pPr>
      <w:r>
        <w:rPr>
          <w:rFonts w:ascii="&amp;quot" w:eastAsia="Times New Roman" w:hAnsi="&amp;quot" w:cs="Times New Roman"/>
          <w:color w:val="231F20"/>
          <w:sz w:val="24"/>
          <w:szCs w:val="24"/>
        </w:rPr>
        <w:t xml:space="preserve">Centre College </w:t>
      </w:r>
      <w:r w:rsidRPr="006940ED">
        <w:rPr>
          <w:rFonts w:ascii="&amp;quot" w:eastAsia="Times New Roman" w:hAnsi="&amp;quot" w:cs="Times New Roman"/>
          <w:color w:val="231F20"/>
          <w:sz w:val="24"/>
          <w:szCs w:val="24"/>
        </w:rPr>
        <w:t xml:space="preserve">processes significant amounts of personal data about its </w:t>
      </w:r>
      <w:r>
        <w:rPr>
          <w:rFonts w:ascii="&amp;quot" w:eastAsia="Times New Roman" w:hAnsi="&amp;quot" w:cs="Times New Roman"/>
          <w:color w:val="231F20"/>
          <w:sz w:val="24"/>
          <w:szCs w:val="24"/>
        </w:rPr>
        <w:t xml:space="preserve">applicants, </w:t>
      </w:r>
      <w:r w:rsidRPr="006940ED">
        <w:rPr>
          <w:rFonts w:ascii="&amp;quot" w:eastAsia="Times New Roman" w:hAnsi="&amp;quot" w:cs="Times New Roman"/>
          <w:color w:val="231F20"/>
          <w:sz w:val="24"/>
          <w:szCs w:val="24"/>
        </w:rPr>
        <w:t xml:space="preserve">students, staff, </w:t>
      </w:r>
      <w:r>
        <w:rPr>
          <w:rFonts w:ascii="&amp;quot" w:eastAsia="Times New Roman" w:hAnsi="&amp;quot" w:cs="Times New Roman"/>
          <w:color w:val="231F20"/>
          <w:sz w:val="24"/>
          <w:szCs w:val="24"/>
        </w:rPr>
        <w:t>faculty,</w:t>
      </w:r>
      <w:r w:rsidRPr="006940ED">
        <w:rPr>
          <w:rFonts w:ascii="&amp;quot" w:eastAsia="Times New Roman" w:hAnsi="&amp;quot" w:cs="Times New Roman"/>
          <w:color w:val="231F20"/>
          <w:sz w:val="24"/>
          <w:szCs w:val="24"/>
        </w:rPr>
        <w:t xml:space="preserve"> </w:t>
      </w:r>
      <w:r>
        <w:rPr>
          <w:rFonts w:ascii="&amp;quot" w:eastAsia="Times New Roman" w:hAnsi="&amp;quot" w:cs="Times New Roman"/>
          <w:color w:val="231F20"/>
          <w:sz w:val="24"/>
          <w:szCs w:val="24"/>
        </w:rPr>
        <w:t xml:space="preserve">alumni, </w:t>
      </w:r>
      <w:r w:rsidRPr="006940ED">
        <w:rPr>
          <w:rFonts w:ascii="&amp;quot" w:eastAsia="Times New Roman" w:hAnsi="&amp;quot" w:cs="Times New Roman"/>
          <w:color w:val="231F20"/>
          <w:sz w:val="24"/>
          <w:szCs w:val="24"/>
        </w:rPr>
        <w:t xml:space="preserve">and many others. People are increasingly aware of their rights and expect organizations like </w:t>
      </w:r>
      <w:r>
        <w:rPr>
          <w:rFonts w:ascii="&amp;quot" w:eastAsia="Times New Roman" w:hAnsi="&amp;quot" w:cs="Times New Roman"/>
          <w:color w:val="231F20"/>
          <w:sz w:val="24"/>
          <w:szCs w:val="24"/>
        </w:rPr>
        <w:t>Centre College</w:t>
      </w:r>
      <w:r w:rsidRPr="006940ED">
        <w:rPr>
          <w:rFonts w:ascii="&amp;quot" w:eastAsia="Times New Roman" w:hAnsi="&amp;quot" w:cs="Times New Roman"/>
          <w:color w:val="231F20"/>
          <w:sz w:val="24"/>
          <w:szCs w:val="24"/>
        </w:rPr>
        <w:t xml:space="preserve"> to protect their personal data.</w:t>
      </w:r>
    </w:p>
    <w:p w:rsidR="006940ED" w:rsidRPr="006940ED" w:rsidRDefault="006940ED" w:rsidP="006940ED">
      <w:pPr>
        <w:spacing w:after="195" w:line="420" w:lineRule="atLeast"/>
        <w:rPr>
          <w:rFonts w:ascii="&amp;quot" w:eastAsia="Times New Roman" w:hAnsi="&amp;quot" w:cs="Times New Roman"/>
          <w:color w:val="231F20"/>
          <w:sz w:val="24"/>
          <w:szCs w:val="24"/>
        </w:rPr>
      </w:pPr>
      <w:bookmarkStart w:id="0" w:name="_GoBack"/>
      <w:r w:rsidRPr="006940ED">
        <w:rPr>
          <w:rFonts w:ascii="&amp;quot" w:eastAsia="Times New Roman" w:hAnsi="&amp;quot" w:cs="Times New Roman"/>
          <w:color w:val="231F20"/>
          <w:sz w:val="24"/>
          <w:szCs w:val="24"/>
        </w:rPr>
        <w:t xml:space="preserve">The GDPR significantly increases the obligations and responsibilities for organizations like </w:t>
      </w:r>
      <w:r>
        <w:rPr>
          <w:rFonts w:ascii="&amp;quot" w:eastAsia="Times New Roman" w:hAnsi="&amp;quot" w:cs="Times New Roman"/>
          <w:color w:val="231F20"/>
          <w:sz w:val="24"/>
          <w:szCs w:val="24"/>
        </w:rPr>
        <w:t>us</w:t>
      </w:r>
      <w:r w:rsidRPr="006940ED">
        <w:rPr>
          <w:rFonts w:ascii="&amp;quot" w:eastAsia="Times New Roman" w:hAnsi="&amp;quot" w:cs="Times New Roman"/>
          <w:color w:val="231F20"/>
          <w:sz w:val="24"/>
          <w:szCs w:val="24"/>
        </w:rPr>
        <w:t xml:space="preserve"> in how we collect, use and protect personal data. At the Centre of the new law is the requirement for organizations to be fully transparent about how they are using and safeguarding personal data, and to be able to demonstrate accountability for their data processing activities.</w:t>
      </w:r>
    </w:p>
    <w:bookmarkEnd w:id="0"/>
    <w:p w:rsidR="006940ED" w:rsidRDefault="006940ED" w:rsidP="006940ED"/>
    <w:p w:rsidR="006940ED" w:rsidRPr="006940ED" w:rsidRDefault="006940ED" w:rsidP="006940ED">
      <w:pPr>
        <w:spacing w:before="450" w:after="300" w:line="525" w:lineRule="atLeast"/>
        <w:outlineLvl w:val="1"/>
        <w:rPr>
          <w:rFonts w:ascii="&amp;quot" w:eastAsia="Times New Roman" w:hAnsi="&amp;quot" w:cs="Times New Roman"/>
          <w:b/>
          <w:bCs/>
          <w:color w:val="231F20"/>
          <w:sz w:val="42"/>
          <w:szCs w:val="42"/>
        </w:rPr>
      </w:pPr>
      <w:r>
        <w:rPr>
          <w:rFonts w:ascii="&amp;quot" w:eastAsia="Times New Roman" w:hAnsi="&amp;quot" w:cs="Times New Roman"/>
          <w:b/>
          <w:bCs/>
          <w:color w:val="231F20"/>
          <w:sz w:val="42"/>
          <w:szCs w:val="42"/>
        </w:rPr>
        <w:t xml:space="preserve">Key </w:t>
      </w:r>
      <w:r w:rsidRPr="006940ED">
        <w:rPr>
          <w:rFonts w:ascii="&amp;quot" w:eastAsia="Times New Roman" w:hAnsi="&amp;quot" w:cs="Times New Roman"/>
          <w:b/>
          <w:bCs/>
          <w:color w:val="231F20"/>
          <w:sz w:val="42"/>
          <w:szCs w:val="42"/>
        </w:rPr>
        <w:t xml:space="preserve">GDPR </w:t>
      </w:r>
      <w:r>
        <w:rPr>
          <w:rFonts w:ascii="&amp;quot" w:eastAsia="Times New Roman" w:hAnsi="&amp;quot" w:cs="Times New Roman"/>
          <w:b/>
          <w:bCs/>
          <w:color w:val="231F20"/>
          <w:sz w:val="42"/>
          <w:szCs w:val="42"/>
        </w:rPr>
        <w:t>Changes</w:t>
      </w:r>
    </w:p>
    <w:p w:rsidR="006940ED" w:rsidRPr="006940ED" w:rsidRDefault="006940ED" w:rsidP="006940ED">
      <w:pPr>
        <w:spacing w:after="195" w:line="420" w:lineRule="atLeast"/>
        <w:rPr>
          <w:rFonts w:ascii="&amp;quot" w:eastAsia="Times New Roman" w:hAnsi="&amp;quot" w:cs="Times New Roman"/>
          <w:color w:val="231F20"/>
          <w:sz w:val="24"/>
          <w:szCs w:val="24"/>
        </w:rPr>
      </w:pPr>
      <w:r w:rsidRPr="006940ED">
        <w:rPr>
          <w:rFonts w:ascii="&amp;quot" w:eastAsia="Times New Roman" w:hAnsi="&amp;quot" w:cs="Times New Roman"/>
          <w:color w:val="231F20"/>
          <w:sz w:val="24"/>
          <w:szCs w:val="24"/>
        </w:rPr>
        <w:t xml:space="preserve">The GDPR introduces a number of changes to data protection practices and will require the </w:t>
      </w:r>
      <w:r w:rsidR="00E82CC8">
        <w:rPr>
          <w:rFonts w:ascii="&amp;quot" w:eastAsia="Times New Roman" w:hAnsi="&amp;quot" w:cs="Times New Roman"/>
          <w:color w:val="231F20"/>
          <w:sz w:val="24"/>
          <w:szCs w:val="24"/>
        </w:rPr>
        <w:t>College</w:t>
      </w:r>
      <w:r w:rsidRPr="006940ED">
        <w:rPr>
          <w:rFonts w:ascii="&amp;quot" w:eastAsia="Times New Roman" w:hAnsi="&amp;quot" w:cs="Times New Roman"/>
          <w:color w:val="231F20"/>
          <w:sz w:val="24"/>
          <w:szCs w:val="24"/>
        </w:rPr>
        <w:t xml:space="preserve"> to review and revise its approach to data handling. Key changes include: </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Privacy notices</w:t>
      </w:r>
      <w:r w:rsidRPr="006940ED">
        <w:rPr>
          <w:rFonts w:ascii="&amp;quot" w:eastAsia="Times New Roman" w:hAnsi="&amp;quot" w:cs="Times New Roman"/>
          <w:color w:val="231F20"/>
          <w:sz w:val="24"/>
          <w:szCs w:val="24"/>
        </w:rPr>
        <w:t>: more detailed privacy notices are required, which explain the purpose and legal basis behind processing activities</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Accountability</w:t>
      </w:r>
      <w:r w:rsidRPr="006940ED">
        <w:rPr>
          <w:rFonts w:ascii="&amp;quot" w:eastAsia="Times New Roman" w:hAnsi="&amp;quot" w:cs="Times New Roman"/>
          <w:color w:val="231F20"/>
          <w:sz w:val="24"/>
          <w:szCs w:val="24"/>
        </w:rPr>
        <w:t>: stronger requirements to demonstrate compliance; record-keeping regarding all data processing activities;</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Privacy by Design and Default</w:t>
      </w:r>
      <w:r w:rsidRPr="006940ED">
        <w:rPr>
          <w:rFonts w:ascii="&amp;quot" w:eastAsia="Times New Roman" w:hAnsi="&amp;quot" w:cs="Times New Roman"/>
          <w:color w:val="231F20"/>
          <w:sz w:val="24"/>
          <w:szCs w:val="24"/>
        </w:rPr>
        <w:t xml:space="preserve"> should be the norm;</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Data Protection Impact Assessments (</w:t>
      </w:r>
      <w:proofErr w:type="spellStart"/>
      <w:r w:rsidRPr="006940ED">
        <w:rPr>
          <w:rFonts w:ascii="&amp;quot" w:eastAsia="Times New Roman" w:hAnsi="&amp;quot" w:cs="Times New Roman"/>
          <w:b/>
          <w:bCs/>
          <w:color w:val="231F20"/>
          <w:sz w:val="24"/>
          <w:szCs w:val="24"/>
        </w:rPr>
        <w:t>DPIAs</w:t>
      </w:r>
      <w:proofErr w:type="spellEnd"/>
      <w:r w:rsidRPr="006940ED">
        <w:rPr>
          <w:rFonts w:ascii="&amp;quot" w:eastAsia="Times New Roman" w:hAnsi="&amp;quot" w:cs="Times New Roman"/>
          <w:b/>
          <w:bCs/>
          <w:color w:val="231F20"/>
          <w:sz w:val="24"/>
          <w:szCs w:val="24"/>
        </w:rPr>
        <w:t xml:space="preserve">): </w:t>
      </w:r>
      <w:r w:rsidRPr="006940ED">
        <w:rPr>
          <w:rFonts w:ascii="&amp;quot" w:eastAsia="Times New Roman" w:hAnsi="&amp;quot" w:cs="Times New Roman"/>
          <w:color w:val="231F20"/>
          <w:sz w:val="24"/>
          <w:szCs w:val="24"/>
        </w:rPr>
        <w:t>mandatory for all new processing activities where privacy risks are high</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Sensitive personal data</w:t>
      </w:r>
      <w:r w:rsidRPr="006940ED">
        <w:rPr>
          <w:rFonts w:ascii="&amp;quot" w:eastAsia="Times New Roman" w:hAnsi="&amp;quot" w:cs="Times New Roman"/>
          <w:color w:val="231F20"/>
          <w:sz w:val="24"/>
          <w:szCs w:val="24"/>
        </w:rPr>
        <w:t>: now includes genetic and biometric data</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A broader definition of personal data: </w:t>
      </w:r>
      <w:r w:rsidRPr="006940ED">
        <w:rPr>
          <w:rFonts w:ascii="&amp;quot" w:eastAsia="Times New Roman" w:hAnsi="&amp;quot" w:cs="Times New Roman"/>
          <w:color w:val="231F20"/>
          <w:sz w:val="24"/>
          <w:szCs w:val="24"/>
        </w:rPr>
        <w:t>now includes ID numbers, IP addresses and reversibly anonymized (‘</w:t>
      </w:r>
      <w:proofErr w:type="spellStart"/>
      <w:r w:rsidRPr="006940ED">
        <w:rPr>
          <w:rFonts w:ascii="&amp;quot" w:eastAsia="Times New Roman" w:hAnsi="&amp;quot" w:cs="Times New Roman"/>
          <w:color w:val="231F20"/>
          <w:sz w:val="24"/>
          <w:szCs w:val="24"/>
        </w:rPr>
        <w:t>pseudonymised</w:t>
      </w:r>
      <w:proofErr w:type="spellEnd"/>
      <w:r w:rsidRPr="006940ED">
        <w:rPr>
          <w:rFonts w:ascii="&amp;quot" w:eastAsia="Times New Roman" w:hAnsi="&amp;quot" w:cs="Times New Roman"/>
          <w:color w:val="231F20"/>
          <w:sz w:val="24"/>
          <w:szCs w:val="24"/>
        </w:rPr>
        <w:t>’) data</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lastRenderedPageBreak/>
        <w:t>Consent</w:t>
      </w:r>
      <w:r w:rsidRPr="006940ED">
        <w:rPr>
          <w:rFonts w:ascii="&amp;quot" w:eastAsia="Times New Roman" w:hAnsi="&amp;quot" w:cs="Times New Roman"/>
          <w:color w:val="231F20"/>
          <w:sz w:val="24"/>
          <w:szCs w:val="24"/>
        </w:rPr>
        <w:t>: must be ‘opt-in’ (rather than being assumed from lack of action), freely given, informed and specific to named processing activities; data subjects will be able to withdraw consent at any time</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Right to be forgotten</w:t>
      </w:r>
      <w:r w:rsidRPr="006940ED">
        <w:rPr>
          <w:rFonts w:ascii="&amp;quot" w:eastAsia="Times New Roman" w:hAnsi="&amp;quot" w:cs="Times New Roman"/>
          <w:color w:val="231F20"/>
          <w:sz w:val="24"/>
          <w:szCs w:val="24"/>
        </w:rPr>
        <w:t>: data subjects can request that their data is deleted in some circumstances</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Right to data portability</w:t>
      </w:r>
      <w:r w:rsidRPr="006940ED">
        <w:rPr>
          <w:rFonts w:ascii="&amp;quot" w:eastAsia="Times New Roman" w:hAnsi="&amp;quot" w:cs="Times New Roman"/>
          <w:color w:val="231F20"/>
          <w:sz w:val="24"/>
          <w:szCs w:val="24"/>
        </w:rPr>
        <w:t>: data subjects can request their data in a portable format, in order to move it to another data controller</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Subject Access Requests</w:t>
      </w:r>
      <w:r w:rsidRPr="006940ED">
        <w:rPr>
          <w:rFonts w:ascii="&amp;quot" w:eastAsia="Times New Roman" w:hAnsi="&amp;quot" w:cs="Times New Roman"/>
          <w:color w:val="231F20"/>
          <w:sz w:val="24"/>
          <w:szCs w:val="24"/>
        </w:rPr>
        <w:t>: individuals still have a right to request access to their personal data held by an organization; this can no longer be charged for; the response time limit is reduced from 40 days to one month</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More restrictive rules around the use of child data: </w:t>
      </w:r>
      <w:r w:rsidRPr="006940ED">
        <w:rPr>
          <w:rFonts w:ascii="&amp;quot" w:eastAsia="Times New Roman" w:hAnsi="&amp;quot" w:cs="Times New Roman"/>
          <w:color w:val="231F20"/>
          <w:sz w:val="24"/>
          <w:szCs w:val="24"/>
        </w:rPr>
        <w:t>restricts the age at which individuals can lawfully give consent, introduces rules for the language used in consent requests targeted at children and regulates the way online services obtain children’s consent.</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International transfers</w:t>
      </w:r>
      <w:r w:rsidRPr="006940ED">
        <w:rPr>
          <w:rFonts w:ascii="&amp;quot" w:eastAsia="Times New Roman" w:hAnsi="&amp;quot" w:cs="Times New Roman"/>
          <w:color w:val="231F20"/>
          <w:sz w:val="24"/>
          <w:szCs w:val="24"/>
        </w:rPr>
        <w:t>: new rules for transfers outside the European Economic Area (EEA)</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Breach notification</w:t>
      </w:r>
      <w:r w:rsidRPr="006940ED">
        <w:rPr>
          <w:rFonts w:ascii="&amp;quot" w:eastAsia="Times New Roman" w:hAnsi="&amp;quot" w:cs="Times New Roman"/>
          <w:color w:val="231F20"/>
          <w:sz w:val="24"/>
          <w:szCs w:val="24"/>
        </w:rPr>
        <w:t>: must notify the Data Protection Commissioner within 72 hours of becoming aware of a data protection breach</w:t>
      </w:r>
    </w:p>
    <w:p w:rsidR="006940ED" w:rsidRPr="006940ED" w:rsidRDefault="006940ED" w:rsidP="006940ED">
      <w:pPr>
        <w:numPr>
          <w:ilvl w:val="0"/>
          <w:numId w:val="1"/>
        </w:numPr>
        <w:spacing w:before="100" w:beforeAutospacing="1" w:after="100" w:afterAutospacing="1" w:line="420" w:lineRule="atLeast"/>
        <w:rPr>
          <w:rFonts w:ascii="&amp;quot" w:eastAsia="Times New Roman" w:hAnsi="&amp;quot" w:cs="Times New Roman"/>
          <w:color w:val="231F20"/>
          <w:sz w:val="24"/>
          <w:szCs w:val="24"/>
        </w:rPr>
      </w:pPr>
      <w:r w:rsidRPr="006940ED">
        <w:rPr>
          <w:rFonts w:ascii="&amp;quot" w:eastAsia="Times New Roman" w:hAnsi="&amp;quot" w:cs="Times New Roman"/>
          <w:b/>
          <w:bCs/>
          <w:color w:val="231F20"/>
          <w:sz w:val="24"/>
          <w:szCs w:val="24"/>
        </w:rPr>
        <w:t>Fines</w:t>
      </w:r>
      <w:r w:rsidRPr="006940ED">
        <w:rPr>
          <w:rFonts w:ascii="&amp;quot" w:eastAsia="Times New Roman" w:hAnsi="&amp;quot" w:cs="Times New Roman"/>
          <w:color w:val="231F20"/>
          <w:sz w:val="24"/>
          <w:szCs w:val="24"/>
        </w:rPr>
        <w:t>: tougher financial penalties (fines of up to 4% of annual global turnover or €20 million (whichever is greater));</w:t>
      </w:r>
    </w:p>
    <w:p w:rsidR="006940ED" w:rsidRDefault="00846624" w:rsidP="00846624">
      <w:pPr>
        <w:ind w:left="6480"/>
      </w:pPr>
      <w:r>
        <w:t>Updated: May 2018</w:t>
      </w:r>
    </w:p>
    <w:sectPr w:rsidR="00694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A09"/>
    <w:multiLevelType w:val="multilevel"/>
    <w:tmpl w:val="4E32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ED"/>
    <w:rsid w:val="000A44F6"/>
    <w:rsid w:val="0022102F"/>
    <w:rsid w:val="00264F0B"/>
    <w:rsid w:val="002C21EE"/>
    <w:rsid w:val="006940ED"/>
    <w:rsid w:val="00846624"/>
    <w:rsid w:val="00E8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834E"/>
  <w15:chartTrackingRefBased/>
  <w15:docId w15:val="{5F0A8659-C9BD-4DDF-B0B1-3CE19751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40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0ED"/>
    <w:rPr>
      <w:rFonts w:ascii="Times New Roman" w:eastAsia="Times New Roman" w:hAnsi="Times New Roman" w:cs="Times New Roman"/>
      <w:b/>
      <w:bCs/>
      <w:sz w:val="36"/>
      <w:szCs w:val="36"/>
    </w:rPr>
  </w:style>
  <w:style w:type="paragraph" w:styleId="NormalWeb">
    <w:name w:val="Normal (Web)"/>
    <w:basedOn w:val="Normal"/>
    <w:uiPriority w:val="99"/>
    <w:unhideWhenUsed/>
    <w:rsid w:val="006940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0ED"/>
    <w:rPr>
      <w:b/>
      <w:bCs/>
    </w:rPr>
  </w:style>
  <w:style w:type="character" w:styleId="Hyperlink">
    <w:name w:val="Hyperlink"/>
    <w:basedOn w:val="DefaultParagraphFont"/>
    <w:uiPriority w:val="99"/>
    <w:semiHidden/>
    <w:unhideWhenUsed/>
    <w:rsid w:val="00694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4746">
      <w:bodyDiv w:val="1"/>
      <w:marLeft w:val="0"/>
      <w:marRight w:val="0"/>
      <w:marTop w:val="0"/>
      <w:marBottom w:val="0"/>
      <w:divBdr>
        <w:top w:val="none" w:sz="0" w:space="0" w:color="auto"/>
        <w:left w:val="none" w:sz="0" w:space="0" w:color="auto"/>
        <w:bottom w:val="none" w:sz="0" w:space="0" w:color="auto"/>
        <w:right w:val="none" w:sz="0" w:space="0" w:color="auto"/>
      </w:divBdr>
    </w:div>
    <w:div w:id="322397044">
      <w:bodyDiv w:val="1"/>
      <w:marLeft w:val="0"/>
      <w:marRight w:val="0"/>
      <w:marTop w:val="0"/>
      <w:marBottom w:val="0"/>
      <w:divBdr>
        <w:top w:val="none" w:sz="0" w:space="0" w:color="auto"/>
        <w:left w:val="none" w:sz="0" w:space="0" w:color="auto"/>
        <w:bottom w:val="none" w:sz="0" w:space="0" w:color="auto"/>
        <w:right w:val="none" w:sz="0" w:space="0" w:color="auto"/>
      </w:divBdr>
    </w:div>
    <w:div w:id="717315594">
      <w:bodyDiv w:val="1"/>
      <w:marLeft w:val="0"/>
      <w:marRight w:val="0"/>
      <w:marTop w:val="0"/>
      <w:marBottom w:val="0"/>
      <w:divBdr>
        <w:top w:val="none" w:sz="0" w:space="0" w:color="auto"/>
        <w:left w:val="none" w:sz="0" w:space="0" w:color="auto"/>
        <w:bottom w:val="none" w:sz="0" w:space="0" w:color="auto"/>
        <w:right w:val="none" w:sz="0" w:space="0" w:color="auto"/>
      </w:divBdr>
    </w:div>
    <w:div w:id="11516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Ryan</dc:creator>
  <cp:keywords/>
  <dc:description/>
  <cp:lastModifiedBy>Andrew J. Ryan</cp:lastModifiedBy>
  <cp:revision>5</cp:revision>
  <dcterms:created xsi:type="dcterms:W3CDTF">2018-05-16T18:15:00Z</dcterms:created>
  <dcterms:modified xsi:type="dcterms:W3CDTF">2018-05-23T18:11:00Z</dcterms:modified>
</cp:coreProperties>
</file>